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C4" w:rsidRPr="00A313C4" w:rsidRDefault="00A313C4" w:rsidP="00A313C4">
      <w:pPr>
        <w:spacing w:after="0" w:line="240" w:lineRule="auto"/>
        <w:ind w:left="-567"/>
        <w:contextualSpacing/>
        <w:jc w:val="center"/>
        <w:rPr>
          <w:rFonts w:eastAsiaTheme="minorEastAsia" w:hAnsi="Calibri"/>
          <w:bCs/>
          <w:color w:val="002060"/>
          <w:kern w:val="24"/>
          <w:lang w:eastAsia="fr-FR"/>
        </w:rPr>
      </w:pPr>
      <w:r>
        <w:rPr>
          <w:rFonts w:eastAsiaTheme="minorEastAsia" w:hAnsi="Calibri"/>
          <w:bCs/>
          <w:noProof/>
          <w:color w:val="002060"/>
          <w:kern w:val="24"/>
          <w:lang w:eastAsia="fr-FR"/>
        </w:rPr>
        <w:drawing>
          <wp:inline distT="0" distB="0" distL="0" distR="0">
            <wp:extent cx="2171700" cy="1371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NIAC_LOGO_jpeg_06-01-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952" cy="137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3C4" w:rsidRDefault="00A313C4" w:rsidP="005B7C3C">
      <w:pPr>
        <w:spacing w:after="0" w:line="240" w:lineRule="auto"/>
        <w:ind w:left="-567"/>
        <w:contextualSpacing/>
        <w:rPr>
          <w:rFonts w:eastAsiaTheme="minorEastAsia" w:hAnsi="Calibri"/>
          <w:b/>
          <w:bCs/>
          <w:i/>
          <w:color w:val="002060"/>
          <w:kern w:val="24"/>
          <w:lang w:eastAsia="fr-FR"/>
        </w:rPr>
      </w:pPr>
    </w:p>
    <w:p w:rsidR="005B7C3C" w:rsidRDefault="005B7C3C" w:rsidP="00A313C4">
      <w:pPr>
        <w:spacing w:after="0" w:line="240" w:lineRule="auto"/>
        <w:ind w:left="-567"/>
        <w:contextualSpacing/>
        <w:jc w:val="center"/>
        <w:rPr>
          <w:rFonts w:eastAsiaTheme="minorEastAsia" w:hAnsi="Calibri"/>
          <w:b/>
          <w:bCs/>
          <w:i/>
          <w:color w:val="002060"/>
          <w:kern w:val="24"/>
          <w:lang w:eastAsia="fr-FR"/>
        </w:rPr>
      </w:pPr>
      <w:r w:rsidRPr="005B7C3C">
        <w:rPr>
          <w:rFonts w:eastAsiaTheme="minorEastAsia" w:hAnsi="Calibri"/>
          <w:b/>
          <w:bCs/>
          <w:i/>
          <w:color w:val="002060"/>
          <w:kern w:val="24"/>
          <w:lang w:eastAsia="fr-FR"/>
        </w:rPr>
        <w:t>AG GNIAC du 7 mars 2018</w:t>
      </w:r>
    </w:p>
    <w:p w:rsidR="005B7C3C" w:rsidRDefault="005B7C3C" w:rsidP="009F7FB9">
      <w:pPr>
        <w:spacing w:after="0" w:line="240" w:lineRule="auto"/>
        <w:contextualSpacing/>
        <w:rPr>
          <w:rFonts w:eastAsiaTheme="minorEastAsia" w:hAnsi="Calibri"/>
          <w:b/>
          <w:bCs/>
          <w:color w:val="002060"/>
          <w:kern w:val="24"/>
          <w:sz w:val="36"/>
          <w:szCs w:val="36"/>
          <w:lang w:eastAsia="fr-FR"/>
        </w:rPr>
      </w:pPr>
    </w:p>
    <w:p w:rsidR="009F7FB9" w:rsidRPr="00E05F1A" w:rsidRDefault="009F7FB9" w:rsidP="009F7FB9">
      <w:pPr>
        <w:spacing w:after="0" w:line="240" w:lineRule="auto"/>
        <w:contextualSpacing/>
        <w:rPr>
          <w:rFonts w:eastAsiaTheme="minorEastAsia" w:hAnsi="Calibri"/>
          <w:b/>
          <w:bCs/>
          <w:color w:val="002060"/>
          <w:kern w:val="24"/>
          <w:sz w:val="36"/>
          <w:szCs w:val="36"/>
          <w:lang w:eastAsia="fr-FR"/>
        </w:rPr>
      </w:pPr>
    </w:p>
    <w:p w:rsidR="008376E9" w:rsidRPr="00E05F1A" w:rsidRDefault="008376E9" w:rsidP="008376E9">
      <w:pPr>
        <w:spacing w:after="0" w:line="240" w:lineRule="auto"/>
        <w:contextualSpacing/>
        <w:jc w:val="center"/>
        <w:rPr>
          <w:rFonts w:eastAsiaTheme="minorEastAsia" w:hAnsi="Calibri"/>
          <w:b/>
          <w:bCs/>
          <w:color w:val="002060"/>
          <w:kern w:val="24"/>
          <w:sz w:val="36"/>
          <w:szCs w:val="36"/>
          <w:lang w:eastAsia="fr-FR"/>
        </w:rPr>
      </w:pPr>
      <w:r w:rsidRPr="00E05F1A">
        <w:rPr>
          <w:rFonts w:eastAsiaTheme="minorEastAsia" w:hAnsi="Calibri"/>
          <w:b/>
          <w:bCs/>
          <w:color w:val="002060"/>
          <w:kern w:val="24"/>
          <w:sz w:val="36"/>
          <w:szCs w:val="36"/>
          <w:lang w:eastAsia="fr-FR"/>
        </w:rPr>
        <w:t>Orientations/actions 2018</w:t>
      </w:r>
    </w:p>
    <w:p w:rsidR="008376E9" w:rsidRDefault="0038051A" w:rsidP="009F7FB9">
      <w:pPr>
        <w:pStyle w:val="Citationintense"/>
        <w:rPr>
          <w:b/>
          <w:i w:val="0"/>
          <w:sz w:val="32"/>
          <w:szCs w:val="32"/>
        </w:rPr>
      </w:pPr>
      <w:r w:rsidRPr="009F7FB9">
        <w:rPr>
          <w:b/>
          <w:i w:val="0"/>
          <w:sz w:val="32"/>
          <w:szCs w:val="32"/>
        </w:rPr>
        <w:t>Recentrage sur le métier de base</w:t>
      </w:r>
    </w:p>
    <w:p w:rsidR="009F7FB9" w:rsidRPr="009F7FB9" w:rsidRDefault="009F7FB9" w:rsidP="009F7FB9"/>
    <w:p w:rsidR="008376E9" w:rsidRPr="009F7FB9" w:rsidRDefault="008376E9" w:rsidP="009F7FB9">
      <w:pPr>
        <w:pStyle w:val="Paragraphedeliste"/>
        <w:numPr>
          <w:ilvl w:val="0"/>
          <w:numId w:val="10"/>
        </w:numPr>
        <w:rPr>
          <w:b/>
          <w:color w:val="002060"/>
          <w:sz w:val="28"/>
          <w:szCs w:val="28"/>
        </w:rPr>
      </w:pPr>
      <w:r w:rsidRPr="009F7FB9">
        <w:rPr>
          <w:b/>
          <w:color w:val="002060"/>
          <w:sz w:val="28"/>
          <w:szCs w:val="28"/>
        </w:rPr>
        <w:t xml:space="preserve">GNIAC redéfini en deux phrases : </w:t>
      </w:r>
    </w:p>
    <w:p w:rsidR="008376E9" w:rsidRPr="009F7FB9" w:rsidRDefault="003D2B3D" w:rsidP="003D2B3D">
      <w:pPr>
        <w:pStyle w:val="NormalWeb"/>
        <w:spacing w:before="80" w:beforeAutospacing="0" w:after="0" w:afterAutospacing="0"/>
        <w:jc w:val="both"/>
        <w:rPr>
          <w:rFonts w:asciiTheme="minorHAnsi" w:eastAsiaTheme="minorEastAsia" w:hAnsi="Calibri" w:cstheme="minorBidi"/>
          <w:bCs/>
          <w:i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 </w:t>
      </w:r>
      <w:r w:rsidRPr="009F7FB9">
        <w:rPr>
          <w:rFonts w:asciiTheme="minorHAnsi" w:eastAsiaTheme="minorEastAsia" w:hAnsi="Calibri" w:cstheme="minorBidi"/>
          <w:bCs/>
          <w:iCs/>
          <w:color w:val="000000" w:themeColor="text1"/>
          <w:kern w:val="24"/>
        </w:rPr>
        <w:t>GNIAC est un réseau national de personnes d’origines diversifiées, qui permet, par le décloisonnement, la transversalité et la bienveillance, de construire de nouveaux liens et de nouvelles solutions d'utilité sociale.</w:t>
      </w:r>
    </w:p>
    <w:p w:rsidR="008376E9" w:rsidRPr="009F7FB9" w:rsidRDefault="003D2B3D" w:rsidP="003D2B3D">
      <w:pPr>
        <w:pStyle w:val="NormalWeb"/>
        <w:spacing w:before="80" w:beforeAutospacing="0" w:after="0" w:afterAutospacing="0"/>
        <w:jc w:val="both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9F7FB9">
        <w:rPr>
          <w:rFonts w:asciiTheme="minorHAnsi" w:eastAsiaTheme="minorEastAsia" w:hAnsi="Calibri" w:cstheme="minorBidi"/>
          <w:bCs/>
          <w:iCs/>
          <w:color w:val="000000" w:themeColor="text1"/>
          <w:kern w:val="24"/>
        </w:rPr>
        <w:t xml:space="preserve"> C'est également un lieu de partage d'expériences et d'expertises, sans hiérarchie ni étiquettes, un espace de respiration et d'ouverture qui permet le renforcement du pouvoir d'agir de chacun de ses </w:t>
      </w:r>
      <w:r w:rsidR="008376E9" w:rsidRPr="009F7FB9">
        <w:rPr>
          <w:rFonts w:asciiTheme="minorHAnsi" w:eastAsiaTheme="minorEastAsia" w:hAnsi="Calibri" w:cstheme="minorBidi"/>
          <w:bCs/>
          <w:iCs/>
          <w:color w:val="000000" w:themeColor="text1"/>
          <w:kern w:val="24"/>
        </w:rPr>
        <w:t>membres</w:t>
      </w:r>
      <w:r w:rsidR="008376E9" w:rsidRPr="009F7FB9">
        <w:rPr>
          <w:rFonts w:asciiTheme="minorHAnsi" w:eastAsiaTheme="minorEastAsia" w:hAnsi="Calibri" w:cstheme="minorBidi"/>
          <w:bCs/>
          <w:color w:val="000000" w:themeColor="text1"/>
          <w:kern w:val="24"/>
        </w:rPr>
        <w:t>.</w:t>
      </w:r>
    </w:p>
    <w:p w:rsidR="009F7FB9" w:rsidRPr="00E05F1A" w:rsidRDefault="009F7FB9" w:rsidP="003D2B3D">
      <w:pPr>
        <w:pStyle w:val="NormalWeb"/>
        <w:spacing w:before="80" w:beforeAutospacing="0" w:after="0" w:afterAutospacing="0"/>
        <w:jc w:val="both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</w:p>
    <w:p w:rsidR="008376E9" w:rsidRDefault="008376E9" w:rsidP="00A313C4">
      <w:pPr>
        <w:pStyle w:val="NormalWeb"/>
        <w:numPr>
          <w:ilvl w:val="0"/>
          <w:numId w:val="10"/>
        </w:numPr>
        <w:spacing w:before="8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2060"/>
          <w:kern w:val="24"/>
          <w:sz w:val="28"/>
          <w:szCs w:val="28"/>
        </w:rPr>
      </w:pPr>
      <w:r w:rsidRPr="008376E9">
        <w:rPr>
          <w:rFonts w:asciiTheme="minorHAnsi" w:eastAsiaTheme="minorEastAsia" w:hAnsi="Calibri" w:cstheme="minorBidi"/>
          <w:b/>
          <w:bCs/>
          <w:color w:val="002060"/>
          <w:kern w:val="24"/>
          <w:sz w:val="28"/>
          <w:szCs w:val="28"/>
        </w:rPr>
        <w:t xml:space="preserve">Application pour l’action : </w:t>
      </w:r>
      <w:r>
        <w:rPr>
          <w:rFonts w:asciiTheme="minorHAnsi" w:eastAsiaTheme="minorEastAsia" w:hAnsi="Calibri" w:cstheme="minorBidi"/>
          <w:b/>
          <w:bCs/>
          <w:color w:val="002060"/>
          <w:kern w:val="24"/>
          <w:sz w:val="28"/>
          <w:szCs w:val="28"/>
        </w:rPr>
        <w:t xml:space="preserve">priorité à </w:t>
      </w:r>
      <w:r w:rsidR="003D2B3D" w:rsidRPr="008376E9">
        <w:rPr>
          <w:rFonts w:asciiTheme="minorHAnsi" w:eastAsiaTheme="minorEastAsia" w:hAnsi="Calibri" w:cstheme="minorBidi"/>
          <w:b/>
          <w:bCs/>
          <w:color w:val="002060"/>
          <w:kern w:val="24"/>
          <w:sz w:val="28"/>
          <w:szCs w:val="28"/>
        </w:rPr>
        <w:t xml:space="preserve"> </w:t>
      </w:r>
    </w:p>
    <w:p w:rsidR="008376E9" w:rsidRPr="008376E9" w:rsidRDefault="008376E9" w:rsidP="005B7C3C">
      <w:pPr>
        <w:pStyle w:val="NormalWeb"/>
        <w:spacing w:before="8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2060"/>
          <w:kern w:val="24"/>
          <w:sz w:val="28"/>
          <w:szCs w:val="28"/>
        </w:rPr>
      </w:pPr>
    </w:p>
    <w:p w:rsidR="008376E9" w:rsidRPr="00E05F1A" w:rsidRDefault="00A313C4" w:rsidP="005B7C3C">
      <w:pPr>
        <w:pStyle w:val="Paragraphedeliste"/>
        <w:numPr>
          <w:ilvl w:val="0"/>
          <w:numId w:val="1"/>
        </w:numPr>
        <w:jc w:val="both"/>
        <w:rPr>
          <w:color w:val="2DA2BF"/>
        </w:rPr>
      </w:pPr>
      <w:r w:rsidRPr="00E05F1A">
        <w:rPr>
          <w:rFonts w:asciiTheme="minorHAnsi" w:eastAsiaTheme="minorEastAsia" w:hAnsi="Calibri" w:cstheme="minorBidi"/>
          <w:bCs/>
          <w:color w:val="000000" w:themeColor="text1"/>
          <w:kern w:val="24"/>
        </w:rPr>
        <w:t>La</w:t>
      </w:r>
      <w:r w:rsidR="008376E9" w:rsidRPr="00E05F1A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valorisation de la communauté GNIAC</w:t>
      </w:r>
    </w:p>
    <w:p w:rsidR="008376E9" w:rsidRPr="00E05F1A" w:rsidRDefault="008376E9" w:rsidP="005B7C3C">
      <w:pPr>
        <w:pStyle w:val="Paragraphedeliste"/>
        <w:numPr>
          <w:ilvl w:val="0"/>
          <w:numId w:val="1"/>
        </w:numPr>
        <w:jc w:val="both"/>
        <w:rPr>
          <w:color w:val="2DA2BF"/>
        </w:rPr>
      </w:pPr>
      <w:r w:rsidRPr="00E05F1A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A313C4" w:rsidRPr="00E05F1A">
        <w:rPr>
          <w:rFonts w:asciiTheme="minorHAnsi" w:eastAsiaTheme="minorEastAsia" w:hAnsi="Calibri" w:cstheme="minorBidi"/>
          <w:bCs/>
          <w:color w:val="000000" w:themeColor="text1"/>
          <w:kern w:val="24"/>
        </w:rPr>
        <w:t>L’interconnaissance</w:t>
      </w:r>
    </w:p>
    <w:p w:rsidR="008376E9" w:rsidRPr="00E05F1A" w:rsidRDefault="008376E9" w:rsidP="005B7C3C">
      <w:pPr>
        <w:pStyle w:val="Paragraphedeliste"/>
        <w:numPr>
          <w:ilvl w:val="0"/>
          <w:numId w:val="1"/>
        </w:numPr>
        <w:jc w:val="both"/>
        <w:rPr>
          <w:color w:val="2DA2BF"/>
        </w:rPr>
      </w:pPr>
      <w:r w:rsidRPr="00E05F1A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A313C4" w:rsidRPr="00E05F1A">
        <w:rPr>
          <w:rFonts w:asciiTheme="minorHAnsi" w:eastAsiaTheme="minorEastAsia" w:hAnsi="Calibri" w:cstheme="minorBidi"/>
          <w:bCs/>
          <w:color w:val="000000" w:themeColor="text1"/>
          <w:kern w:val="24"/>
        </w:rPr>
        <w:t>L</w:t>
      </w:r>
      <w:r w:rsidRPr="00E05F1A">
        <w:rPr>
          <w:rFonts w:asciiTheme="minorHAnsi" w:eastAsiaTheme="minorEastAsia" w:hAnsi="Calibri" w:cstheme="minorBidi"/>
          <w:bCs/>
          <w:color w:val="000000" w:themeColor="text1"/>
          <w:kern w:val="24"/>
        </w:rPr>
        <w:t>’appui mutuel, la coopération</w:t>
      </w:r>
    </w:p>
    <w:p w:rsidR="008376E9" w:rsidRPr="00E05F1A" w:rsidRDefault="008376E9" w:rsidP="005B7C3C">
      <w:pPr>
        <w:pStyle w:val="NormalWeb"/>
        <w:spacing w:before="80" w:beforeAutospacing="0" w:after="0" w:afterAutospacing="0"/>
        <w:jc w:val="both"/>
        <w:rPr>
          <w:b/>
          <w:color w:val="002060"/>
        </w:rPr>
      </w:pPr>
    </w:p>
    <w:p w:rsidR="003D2B3D" w:rsidRPr="00E05F1A" w:rsidRDefault="00A313C4" w:rsidP="005B7C3C">
      <w:pPr>
        <w:pStyle w:val="NormalWeb"/>
        <w:spacing w:before="8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E05F1A">
        <w:rPr>
          <w:rFonts w:asciiTheme="minorHAnsi" w:eastAsiaTheme="minorEastAsia" w:hAnsi="Calibri" w:cstheme="minorBidi"/>
          <w:color w:val="000000" w:themeColor="text1"/>
          <w:kern w:val="24"/>
        </w:rPr>
        <w:t xml:space="preserve">= </w:t>
      </w:r>
      <w:r w:rsidR="008376E9" w:rsidRPr="00E05F1A">
        <w:rPr>
          <w:rFonts w:asciiTheme="minorHAnsi" w:eastAsiaTheme="minorEastAsia" w:hAnsi="Calibri" w:cstheme="minorBidi"/>
          <w:color w:val="000000" w:themeColor="text1"/>
          <w:kern w:val="24"/>
        </w:rPr>
        <w:t>Une animation qui f</w:t>
      </w:r>
      <w:r w:rsidR="003D2B3D" w:rsidRPr="00E05F1A">
        <w:rPr>
          <w:rFonts w:asciiTheme="minorHAnsi" w:eastAsiaTheme="minorEastAsia" w:hAnsi="Calibri" w:cstheme="minorBidi"/>
          <w:color w:val="000000" w:themeColor="text1"/>
          <w:kern w:val="24"/>
        </w:rPr>
        <w:t>avorise plutôt les contacts entre les membres sur des bases souples et volontaires, à des échelles territoriales à dimension humaine, sans injonction ni marche forcée venant de la tête de réseau</w:t>
      </w:r>
    </w:p>
    <w:p w:rsidR="0038051A" w:rsidRPr="00E05F1A" w:rsidRDefault="0038051A" w:rsidP="005B7C3C">
      <w:pPr>
        <w:pStyle w:val="NormalWeb"/>
        <w:spacing w:before="8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F017EC" w:rsidRPr="009F7FB9" w:rsidRDefault="00DA61D4" w:rsidP="005B7C3C">
      <w:pPr>
        <w:pStyle w:val="NormalWeb"/>
        <w:spacing w:before="8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E05F1A">
        <w:rPr>
          <w:rFonts w:asciiTheme="minorHAnsi" w:eastAsiaTheme="minorEastAsia" w:hAnsi="Calibri" w:cstheme="minorBidi"/>
          <w:color w:val="000000" w:themeColor="text1"/>
          <w:kern w:val="24"/>
        </w:rPr>
        <w:t xml:space="preserve">= Une dynamique de développement plus qualitative : aspect </w:t>
      </w:r>
      <w:r w:rsidR="0038051A" w:rsidRPr="00E05F1A">
        <w:rPr>
          <w:rFonts w:asciiTheme="minorHAnsi" w:eastAsiaTheme="minorEastAsia" w:hAnsi="Calibri" w:cstheme="minorBidi"/>
          <w:color w:val="000000" w:themeColor="text1"/>
          <w:kern w:val="24"/>
        </w:rPr>
        <w:t>réseau citoyen</w:t>
      </w:r>
      <w:r w:rsidRPr="00E05F1A">
        <w:rPr>
          <w:rFonts w:asciiTheme="minorHAnsi" w:eastAsiaTheme="minorEastAsia" w:hAnsi="Calibri" w:cstheme="minorBidi"/>
          <w:color w:val="000000" w:themeColor="text1"/>
          <w:kern w:val="24"/>
        </w:rPr>
        <w:t xml:space="preserve">, accent sur les </w:t>
      </w:r>
      <w:r w:rsidR="0038051A" w:rsidRPr="00E05F1A">
        <w:rPr>
          <w:rFonts w:asciiTheme="minorHAnsi" w:eastAsiaTheme="minorEastAsia" w:hAnsi="Calibri" w:cstheme="minorBidi"/>
          <w:color w:val="000000" w:themeColor="text1"/>
          <w:kern w:val="24"/>
        </w:rPr>
        <w:t xml:space="preserve">innovations territoriales </w:t>
      </w:r>
      <w:r w:rsidRPr="00E05F1A">
        <w:rPr>
          <w:rFonts w:asciiTheme="minorHAnsi" w:eastAsiaTheme="minorEastAsia" w:hAnsi="Calibri" w:cstheme="minorBidi"/>
          <w:color w:val="000000" w:themeColor="text1"/>
          <w:kern w:val="24"/>
        </w:rPr>
        <w:t>et le changement d’échelle des initiatives</w:t>
      </w:r>
    </w:p>
    <w:p w:rsidR="00A313C4" w:rsidRDefault="00A313C4" w:rsidP="005B7C3C">
      <w:pPr>
        <w:pStyle w:val="NormalWeb"/>
        <w:spacing w:before="80" w:beforeAutospacing="0" w:after="0" w:afterAutospacing="0"/>
        <w:jc w:val="both"/>
        <w:rPr>
          <w:sz w:val="28"/>
          <w:szCs w:val="28"/>
        </w:rPr>
      </w:pPr>
    </w:p>
    <w:p w:rsidR="009F7FB9" w:rsidRDefault="009F7FB9" w:rsidP="005B7C3C">
      <w:pPr>
        <w:pStyle w:val="NormalWeb"/>
        <w:spacing w:before="80" w:beforeAutospacing="0" w:after="0" w:afterAutospacing="0"/>
        <w:jc w:val="both"/>
        <w:rPr>
          <w:sz w:val="28"/>
          <w:szCs w:val="28"/>
        </w:rPr>
      </w:pPr>
    </w:p>
    <w:p w:rsidR="009F7FB9" w:rsidRDefault="009F7FB9" w:rsidP="005B7C3C">
      <w:pPr>
        <w:pStyle w:val="NormalWeb"/>
        <w:spacing w:before="80" w:beforeAutospacing="0" w:after="0" w:afterAutospacing="0"/>
        <w:jc w:val="both"/>
        <w:rPr>
          <w:sz w:val="28"/>
          <w:szCs w:val="28"/>
        </w:rPr>
      </w:pPr>
    </w:p>
    <w:p w:rsidR="009F7FB9" w:rsidRDefault="009F7FB9" w:rsidP="005B7C3C">
      <w:pPr>
        <w:pStyle w:val="NormalWeb"/>
        <w:spacing w:before="80" w:beforeAutospacing="0" w:after="0" w:afterAutospacing="0"/>
        <w:jc w:val="both"/>
        <w:rPr>
          <w:sz w:val="28"/>
          <w:szCs w:val="28"/>
        </w:rPr>
      </w:pPr>
    </w:p>
    <w:p w:rsidR="009F7FB9" w:rsidRDefault="009F7FB9" w:rsidP="005B7C3C">
      <w:pPr>
        <w:pStyle w:val="NormalWeb"/>
        <w:spacing w:before="80" w:beforeAutospacing="0" w:after="0" w:afterAutospacing="0"/>
        <w:jc w:val="both"/>
        <w:rPr>
          <w:sz w:val="28"/>
          <w:szCs w:val="28"/>
        </w:rPr>
      </w:pPr>
    </w:p>
    <w:p w:rsidR="009F7FB9" w:rsidRDefault="009F7FB9" w:rsidP="005B7C3C">
      <w:pPr>
        <w:pStyle w:val="NormalWeb"/>
        <w:spacing w:before="8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9F7FB9" w:rsidRDefault="009F7FB9" w:rsidP="005B7C3C">
      <w:pPr>
        <w:pStyle w:val="NormalWeb"/>
        <w:spacing w:before="80" w:beforeAutospacing="0" w:after="0" w:afterAutospacing="0"/>
        <w:jc w:val="both"/>
        <w:rPr>
          <w:sz w:val="28"/>
          <w:szCs w:val="28"/>
        </w:rPr>
      </w:pPr>
    </w:p>
    <w:p w:rsidR="00F017EC" w:rsidRPr="00F017EC" w:rsidRDefault="00F017EC" w:rsidP="00A313C4">
      <w:pPr>
        <w:pStyle w:val="NormalWeb"/>
        <w:numPr>
          <w:ilvl w:val="0"/>
          <w:numId w:val="10"/>
        </w:numPr>
        <w:spacing w:before="8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017EC">
        <w:rPr>
          <w:rFonts w:asciiTheme="minorHAnsi" w:hAnsiTheme="minorHAnsi" w:cstheme="minorHAnsi"/>
          <w:b/>
          <w:color w:val="002060"/>
          <w:sz w:val="28"/>
          <w:szCs w:val="28"/>
        </w:rPr>
        <w:t>Concrètement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 :</w:t>
      </w:r>
    </w:p>
    <w:p w:rsidR="00F74D5C" w:rsidRPr="00E05F1A" w:rsidRDefault="00F74D5C" w:rsidP="005B7C3C">
      <w:p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2DA2BF"/>
          <w:sz w:val="24"/>
          <w:szCs w:val="24"/>
          <w:lang w:eastAsia="fr-FR"/>
        </w:rPr>
      </w:pPr>
    </w:p>
    <w:p w:rsidR="00F017EC" w:rsidRPr="00E05F1A" w:rsidRDefault="00F74D5C" w:rsidP="005B7C3C">
      <w:pPr>
        <w:pStyle w:val="Paragraphedeliste"/>
        <w:numPr>
          <w:ilvl w:val="0"/>
          <w:numId w:val="7"/>
        </w:numPr>
        <w:spacing w:before="8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E05F1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Déploiement des </w:t>
      </w:r>
      <w:r w:rsidRPr="00E05F1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Groupes </w:t>
      </w:r>
      <w:r w:rsidR="00F017EC" w:rsidRPr="00E05F1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d’</w:t>
      </w:r>
      <w:r w:rsidR="00A313C4" w:rsidRPr="00E05F1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Appui Mutuels</w:t>
      </w:r>
      <w:r w:rsidR="00F017EC" w:rsidRPr="00E05F1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(autogérés ou sur projets identifiés)</w:t>
      </w:r>
    </w:p>
    <w:p w:rsidR="00F017EC" w:rsidRPr="00E05F1A" w:rsidRDefault="00F017EC" w:rsidP="005B7C3C">
      <w:pPr>
        <w:pStyle w:val="Paragraphedeliste"/>
        <w:spacing w:before="80"/>
        <w:ind w:left="111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F74D5C" w:rsidRPr="00E05F1A" w:rsidRDefault="00F74D5C" w:rsidP="005B7C3C">
      <w:pPr>
        <w:pStyle w:val="Paragraphedeliste"/>
        <w:numPr>
          <w:ilvl w:val="0"/>
          <w:numId w:val="7"/>
        </w:numPr>
        <w:spacing w:before="8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E05F1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Donner de la </w:t>
      </w:r>
      <w:r w:rsidRPr="00E05F1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visibilité</w:t>
      </w:r>
      <w:r w:rsidRPr="00E05F1A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 xml:space="preserve"> aux membres</w:t>
      </w:r>
      <w:r w:rsidRPr="00E05F1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et aux initiatives : multiplication des ITW, fiches métiers et initiatives, avec relais site + Facebook+ Tweeter</w:t>
      </w:r>
    </w:p>
    <w:p w:rsidR="003776F4" w:rsidRPr="00E05F1A" w:rsidRDefault="003776F4" w:rsidP="005B7C3C">
      <w:pPr>
        <w:pStyle w:val="Paragraphedeliste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3776F4" w:rsidRPr="00E05F1A" w:rsidRDefault="003776F4" w:rsidP="005B7C3C">
      <w:pPr>
        <w:pStyle w:val="Paragraphedeliste"/>
        <w:numPr>
          <w:ilvl w:val="0"/>
          <w:numId w:val="7"/>
        </w:numPr>
        <w:spacing w:before="8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E05F1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Poursuite des </w:t>
      </w:r>
      <w:r w:rsidRPr="00E05F1A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>pl</w:t>
      </w:r>
      <w:r w:rsidR="005B7C3C" w:rsidRPr="00E05F1A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>è</w:t>
      </w:r>
      <w:r w:rsidRPr="00E05F1A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>nières</w:t>
      </w:r>
      <w:r w:rsidRPr="00E05F1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(dates</w:t>
      </w:r>
      <w:r w:rsidR="0038051A" w:rsidRPr="00E05F1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prévisionnelles : </w:t>
      </w:r>
      <w:r w:rsidR="0038051A" w:rsidRPr="009F7FB9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 xml:space="preserve">7 juin, </w:t>
      </w:r>
      <w:r w:rsidR="00E05F1A" w:rsidRPr="009F7FB9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>27 septembre, 13</w:t>
      </w:r>
      <w:r w:rsidR="00E05F1A" w:rsidRPr="00E05F1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E05F1A" w:rsidRPr="009F7FB9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>décembre</w:t>
      </w:r>
      <w:r w:rsidRPr="00E05F1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) et des </w:t>
      </w:r>
      <w:r w:rsidRPr="00E05F1A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>Apéro’Gniac</w:t>
      </w:r>
    </w:p>
    <w:p w:rsidR="003776F4" w:rsidRPr="00E05F1A" w:rsidRDefault="003776F4" w:rsidP="005B7C3C">
      <w:pPr>
        <w:pStyle w:val="Paragraphedeliste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F017EC" w:rsidRPr="00E05F1A" w:rsidRDefault="003776F4" w:rsidP="00A313C4">
      <w:pPr>
        <w:pStyle w:val="Paragraphedeliste"/>
        <w:numPr>
          <w:ilvl w:val="0"/>
          <w:numId w:val="7"/>
        </w:numPr>
        <w:spacing w:before="8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E05F1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Poursuite des </w:t>
      </w:r>
      <w:r w:rsidRPr="00E05F1A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>Panoram’gniac et Gniac Gniouz</w:t>
      </w:r>
    </w:p>
    <w:p w:rsidR="00F017EC" w:rsidRPr="00E05F1A" w:rsidRDefault="00F017EC" w:rsidP="005B7C3C">
      <w:pPr>
        <w:pStyle w:val="Paragraphedeliste"/>
        <w:spacing w:before="80"/>
        <w:ind w:left="1110"/>
        <w:jc w:val="both"/>
        <w:rPr>
          <w:rFonts w:eastAsiaTheme="minorEastAsia" w:hAnsi="Calibri"/>
          <w:color w:val="000000" w:themeColor="text1"/>
          <w:kern w:val="24"/>
        </w:rPr>
      </w:pPr>
    </w:p>
    <w:p w:rsidR="00F74D5C" w:rsidRPr="00E05F1A" w:rsidRDefault="00F74D5C" w:rsidP="005B7C3C">
      <w:pPr>
        <w:pStyle w:val="Paragraphedeliste"/>
        <w:numPr>
          <w:ilvl w:val="0"/>
          <w:numId w:val="7"/>
        </w:numPr>
        <w:spacing w:before="80"/>
        <w:jc w:val="both"/>
        <w:rPr>
          <w:rFonts w:asciiTheme="minorHAnsi" w:eastAsiaTheme="minorEastAsia" w:hAnsiTheme="minorHAnsi" w:cstheme="minorHAnsi"/>
          <w:kern w:val="24"/>
        </w:rPr>
      </w:pPr>
      <w:r w:rsidRPr="00E05F1A">
        <w:rPr>
          <w:rFonts w:asciiTheme="minorHAnsi" w:eastAsiaTheme="minorEastAsia" w:hAnsiTheme="minorHAnsi" w:cstheme="minorHAnsi"/>
          <w:b/>
          <w:bCs/>
          <w:kern w:val="24"/>
          <w:u w:val="single"/>
        </w:rPr>
        <w:t>Actions/expérimentations</w:t>
      </w:r>
      <w:r w:rsidR="00F017EC" w:rsidRPr="00E05F1A">
        <w:rPr>
          <w:rFonts w:asciiTheme="minorHAnsi" w:eastAsiaTheme="minorEastAsia" w:hAnsiTheme="minorHAnsi" w:cstheme="minorHAnsi"/>
          <w:bCs/>
          <w:kern w:val="24"/>
        </w:rPr>
        <w:t> :</w:t>
      </w:r>
    </w:p>
    <w:p w:rsidR="003776F4" w:rsidRPr="00E05F1A" w:rsidRDefault="003776F4" w:rsidP="005B7C3C">
      <w:pPr>
        <w:pStyle w:val="Paragraphedeliste"/>
        <w:spacing w:before="80"/>
        <w:ind w:left="1110"/>
        <w:jc w:val="both"/>
        <w:rPr>
          <w:rFonts w:asciiTheme="minorHAnsi" w:eastAsiaTheme="minorEastAsia" w:hAnsiTheme="minorHAnsi" w:cstheme="minorHAnsi"/>
          <w:kern w:val="24"/>
        </w:rPr>
      </w:pPr>
    </w:p>
    <w:p w:rsidR="00F74D5C" w:rsidRPr="00E05F1A" w:rsidRDefault="00F74D5C" w:rsidP="005B7C3C">
      <w:pPr>
        <w:pStyle w:val="Paragraphedeliste"/>
        <w:numPr>
          <w:ilvl w:val="0"/>
          <w:numId w:val="4"/>
        </w:numPr>
        <w:tabs>
          <w:tab w:val="clear" w:pos="720"/>
        </w:tabs>
        <w:ind w:left="1276"/>
        <w:jc w:val="both"/>
        <w:rPr>
          <w:color w:val="2DA2BF"/>
        </w:rPr>
      </w:pPr>
      <w:r w:rsidRPr="00E05F1A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Poursuite du PCPE </w:t>
      </w:r>
      <w:r w:rsidRPr="00E05F1A">
        <w:rPr>
          <w:rFonts w:asciiTheme="minorHAnsi" w:eastAsiaTheme="minorEastAsia" w:hAnsi="Calibri" w:cstheme="minorBidi"/>
          <w:color w:val="000000" w:themeColor="text1"/>
          <w:kern w:val="24"/>
        </w:rPr>
        <w:t xml:space="preserve">(dernière année de financement) dont travail sur </w:t>
      </w:r>
      <w:r w:rsidRPr="00E05F1A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essaimage</w:t>
      </w:r>
      <w:r w:rsidRPr="00E05F1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:</w:t>
      </w:r>
    </w:p>
    <w:p w:rsidR="00F74D5C" w:rsidRPr="00E05F1A" w:rsidRDefault="00A313C4" w:rsidP="00A313C4">
      <w:pPr>
        <w:pStyle w:val="NormalWeb"/>
        <w:numPr>
          <w:ilvl w:val="0"/>
          <w:numId w:val="11"/>
        </w:numPr>
        <w:spacing w:before="80" w:beforeAutospacing="0" w:after="0" w:afterAutospacing="0"/>
        <w:jc w:val="both"/>
      </w:pPr>
      <w:r w:rsidRPr="00E05F1A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>L</w:t>
      </w:r>
      <w:r w:rsidR="00F74D5C" w:rsidRPr="00E05F1A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>ivre/bilan</w:t>
      </w:r>
      <w:r w:rsidR="00F74D5C" w:rsidRPr="00E05F1A">
        <w:rPr>
          <w:rFonts w:asciiTheme="minorHAnsi" w:eastAsiaTheme="minorEastAsia" w:hAnsi="Calibri" w:cstheme="minorBidi"/>
          <w:iCs/>
          <w:color w:val="000000" w:themeColor="text1"/>
          <w:kern w:val="24"/>
        </w:rPr>
        <w:t xml:space="preserve"> et appui à des territoires candidats</w:t>
      </w:r>
    </w:p>
    <w:p w:rsidR="00F74D5C" w:rsidRPr="00E05F1A" w:rsidRDefault="00F74D5C" w:rsidP="00A313C4">
      <w:pPr>
        <w:pStyle w:val="NormalWeb"/>
        <w:numPr>
          <w:ilvl w:val="0"/>
          <w:numId w:val="11"/>
        </w:numPr>
        <w:spacing w:before="80" w:beforeAutospacing="0" w:after="0" w:afterAutospacing="0"/>
        <w:jc w:val="both"/>
      </w:pPr>
      <w:r w:rsidRPr="00E05F1A">
        <w:rPr>
          <w:rFonts w:asciiTheme="minorHAnsi" w:eastAsiaTheme="minorEastAsia" w:hAnsi="Calibri" w:cstheme="minorBidi"/>
          <w:iCs/>
          <w:color w:val="000000" w:themeColor="text1"/>
          <w:kern w:val="24"/>
        </w:rPr>
        <w:t xml:space="preserve">Rédaction d’un </w:t>
      </w:r>
      <w:r w:rsidRPr="00E05F1A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>guide méthodo</w:t>
      </w:r>
      <w:r w:rsidRPr="00E05F1A">
        <w:rPr>
          <w:rFonts w:asciiTheme="minorHAnsi" w:eastAsiaTheme="minorEastAsia" w:hAnsi="Calibri" w:cstheme="minorBidi"/>
          <w:iCs/>
          <w:color w:val="000000" w:themeColor="text1"/>
          <w:kern w:val="24"/>
        </w:rPr>
        <w:t xml:space="preserve"> : « Monter et   animer un Réseau Citoyen d’Innovations Territoriales (</w:t>
      </w:r>
      <w:r w:rsidRPr="00E05F1A">
        <w:rPr>
          <w:rFonts w:asciiTheme="minorHAnsi" w:eastAsiaTheme="minorEastAsia" w:hAnsi="Calibri" w:cstheme="minorBidi"/>
          <w:bCs/>
          <w:iCs/>
          <w:color w:val="000000" w:themeColor="text1"/>
          <w:kern w:val="24"/>
        </w:rPr>
        <w:t>RECIT)</w:t>
      </w:r>
      <w:r w:rsidRPr="00E05F1A">
        <w:rPr>
          <w:rFonts w:asciiTheme="minorHAnsi" w:eastAsiaTheme="minorEastAsia" w:hAnsi="Calibri" w:cstheme="minorBidi"/>
          <w:b/>
          <w:bCs/>
          <w:iCs/>
          <w:color w:val="000000" w:themeColor="text1"/>
          <w:kern w:val="24"/>
        </w:rPr>
        <w:t> </w:t>
      </w:r>
      <w:r w:rsidRPr="00E05F1A">
        <w:rPr>
          <w:rFonts w:asciiTheme="minorHAnsi" w:eastAsiaTheme="minorEastAsia" w:hAnsi="Calibri" w:cstheme="minorBidi"/>
          <w:iCs/>
          <w:color w:val="000000" w:themeColor="text1"/>
          <w:kern w:val="24"/>
        </w:rPr>
        <w:t xml:space="preserve">» (modèle </w:t>
      </w:r>
      <w:r w:rsidR="00F017EC" w:rsidRPr="00E05F1A">
        <w:rPr>
          <w:rFonts w:asciiTheme="minorHAnsi" w:eastAsiaTheme="minorEastAsia" w:hAnsi="Calibri" w:cstheme="minorBidi"/>
          <w:iCs/>
          <w:color w:val="000000" w:themeColor="text1"/>
          <w:kern w:val="24"/>
        </w:rPr>
        <w:t>PCPE ;</w:t>
      </w:r>
      <w:r w:rsidRPr="00E05F1A">
        <w:rPr>
          <w:rFonts w:asciiTheme="minorHAnsi" w:eastAsiaTheme="minorEastAsia" w:hAnsi="Calibri" w:cstheme="minorBidi"/>
          <w:iCs/>
          <w:color w:val="000000" w:themeColor="text1"/>
          <w:kern w:val="24"/>
        </w:rPr>
        <w:t xml:space="preserve"> groupe Thierry du </w:t>
      </w:r>
      <w:r w:rsidR="005B7C3C" w:rsidRPr="00E05F1A">
        <w:rPr>
          <w:rFonts w:asciiTheme="minorHAnsi" w:eastAsiaTheme="minorEastAsia" w:hAnsi="Calibri" w:cstheme="minorBidi"/>
          <w:iCs/>
          <w:color w:val="000000" w:themeColor="text1"/>
          <w:kern w:val="24"/>
        </w:rPr>
        <w:t>Bouetiez à</w:t>
      </w:r>
      <w:r w:rsidRPr="00E05F1A">
        <w:rPr>
          <w:rFonts w:asciiTheme="minorHAnsi" w:eastAsiaTheme="minorEastAsia" w:hAnsi="Calibri" w:cstheme="minorBidi"/>
          <w:iCs/>
          <w:color w:val="000000" w:themeColor="text1"/>
          <w:kern w:val="24"/>
        </w:rPr>
        <w:t xml:space="preserve"> constituer</w:t>
      </w:r>
      <w:r w:rsidRPr="00E05F1A">
        <w:rPr>
          <w:rFonts w:asciiTheme="minorHAnsi" w:eastAsiaTheme="minorEastAsia" w:hAnsi="Calibri" w:cstheme="minorBidi"/>
          <w:color w:val="000000" w:themeColor="text1"/>
          <w:kern w:val="24"/>
        </w:rPr>
        <w:t>)</w:t>
      </w:r>
    </w:p>
    <w:p w:rsidR="00F74D5C" w:rsidRPr="00E05F1A" w:rsidRDefault="00F74D5C" w:rsidP="00A313C4">
      <w:pPr>
        <w:pStyle w:val="NormalWeb"/>
        <w:numPr>
          <w:ilvl w:val="0"/>
          <w:numId w:val="11"/>
        </w:numPr>
        <w:spacing w:before="80" w:beforeAutospacing="0" w:after="0" w:afterAutospacing="0"/>
        <w:jc w:val="both"/>
        <w:rPr>
          <w:rFonts w:asciiTheme="minorHAnsi" w:eastAsiaTheme="minorEastAsia" w:hAnsi="Calibri" w:cstheme="minorBidi"/>
          <w:iCs/>
          <w:color w:val="000000" w:themeColor="text1"/>
          <w:kern w:val="24"/>
        </w:rPr>
      </w:pPr>
      <w:r w:rsidRPr="00E05F1A">
        <w:rPr>
          <w:rFonts w:asciiTheme="minorHAnsi" w:eastAsiaTheme="minorEastAsia" w:hAnsi="Calibri" w:cstheme="minorBidi"/>
          <w:iCs/>
          <w:color w:val="000000" w:themeColor="text1"/>
          <w:kern w:val="24"/>
        </w:rPr>
        <w:t xml:space="preserve">Appui au déploiement national des </w:t>
      </w:r>
      <w:r w:rsidRPr="00E05F1A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>Cafés Contact Emploi</w:t>
      </w:r>
    </w:p>
    <w:p w:rsidR="00F017EC" w:rsidRPr="00E05F1A" w:rsidRDefault="00F017EC" w:rsidP="005B7C3C">
      <w:pPr>
        <w:pStyle w:val="NormalWeb"/>
        <w:spacing w:before="80" w:beforeAutospacing="0" w:after="0" w:afterAutospacing="0"/>
        <w:ind w:left="1276"/>
        <w:jc w:val="both"/>
      </w:pPr>
    </w:p>
    <w:p w:rsidR="00F74D5C" w:rsidRPr="00E05F1A" w:rsidRDefault="00F74D5C" w:rsidP="005B7C3C">
      <w:pPr>
        <w:pStyle w:val="NormalWeb"/>
        <w:spacing w:before="80" w:beforeAutospacing="0" w:after="0" w:afterAutospacing="0"/>
        <w:ind w:left="1276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E05F1A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- </w:t>
      </w:r>
      <w:r w:rsidRPr="00E05F1A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Evénement/journée sur l’innovation sociale </w:t>
      </w:r>
      <w:r w:rsidRPr="00E05F1A">
        <w:rPr>
          <w:rFonts w:asciiTheme="minorHAnsi" w:eastAsiaTheme="minorEastAsia" w:hAnsi="Calibri" w:cstheme="minorBidi"/>
          <w:color w:val="000000" w:themeColor="text1"/>
          <w:kern w:val="24"/>
        </w:rPr>
        <w:t>: « Comment traiter effectivement et massivement les difficultés sociales » (groupe André Jaunay)</w:t>
      </w:r>
    </w:p>
    <w:p w:rsidR="005B7C3C" w:rsidRPr="00E05F1A" w:rsidRDefault="005B7C3C" w:rsidP="005B7C3C">
      <w:pPr>
        <w:pStyle w:val="NormalWeb"/>
        <w:spacing w:before="80" w:beforeAutospacing="0" w:after="0" w:afterAutospacing="0"/>
        <w:ind w:left="1276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5B7C3C" w:rsidRPr="00E05F1A" w:rsidRDefault="005B7C3C" w:rsidP="005B7C3C">
      <w:pPr>
        <w:pStyle w:val="NormalWeb"/>
        <w:spacing w:before="80" w:beforeAutospacing="0" w:after="0" w:afterAutospacing="0"/>
        <w:ind w:left="1134" w:hanging="141"/>
        <w:jc w:val="both"/>
        <w:rPr>
          <w:rFonts w:asciiTheme="minorHAnsi" w:hAnsiTheme="minorHAnsi" w:cstheme="minorHAnsi"/>
        </w:rPr>
      </w:pPr>
      <w:r w:rsidRPr="00E05F1A">
        <w:rPr>
          <w:rFonts w:asciiTheme="minorHAnsi" w:hAnsiTheme="minorHAnsi" w:cstheme="minorHAnsi"/>
        </w:rPr>
        <w:t xml:space="preserve">- </w:t>
      </w:r>
      <w:r w:rsidRPr="00E05F1A">
        <w:rPr>
          <w:rFonts w:asciiTheme="minorHAnsi" w:hAnsiTheme="minorHAnsi" w:cstheme="minorHAnsi"/>
          <w:b/>
        </w:rPr>
        <w:t xml:space="preserve">RESET : </w:t>
      </w:r>
      <w:r w:rsidRPr="00E05F1A">
        <w:rPr>
          <w:rFonts w:asciiTheme="minorHAnsi" w:hAnsiTheme="minorHAnsi" w:cstheme="minorHAnsi"/>
        </w:rPr>
        <w:t xml:space="preserve">poursuivre l’animation pour validation du concept, selon mobilisation </w:t>
      </w:r>
    </w:p>
    <w:p w:rsidR="008376E9" w:rsidRPr="00E05F1A" w:rsidRDefault="008376E9" w:rsidP="005B7C3C">
      <w:pPr>
        <w:jc w:val="both"/>
        <w:rPr>
          <w:sz w:val="24"/>
          <w:szCs w:val="24"/>
        </w:rPr>
      </w:pPr>
    </w:p>
    <w:p w:rsidR="008376E9" w:rsidRPr="00E05F1A" w:rsidRDefault="008376E9" w:rsidP="00A313C4">
      <w:pPr>
        <w:pStyle w:val="Paragraphedeliste"/>
        <w:numPr>
          <w:ilvl w:val="0"/>
          <w:numId w:val="9"/>
        </w:numPr>
        <w:ind w:left="1134" w:hanging="54"/>
        <w:jc w:val="both"/>
        <w:rPr>
          <w:color w:val="2DA2BF"/>
        </w:rPr>
      </w:pPr>
      <w:r w:rsidRPr="00E05F1A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 xml:space="preserve">Task force mensuelle </w:t>
      </w:r>
      <w:r w:rsidRPr="00E05F1A">
        <w:rPr>
          <w:rFonts w:asciiTheme="minorHAnsi" w:eastAsiaTheme="minorEastAsia" w:hAnsi="Calibri" w:cstheme="minorBidi"/>
          <w:color w:val="000000" w:themeColor="text1"/>
          <w:kern w:val="24"/>
        </w:rPr>
        <w:t>fonctionnement/animation du réseau ouverte à tous (à Saint-Lazare</w:t>
      </w:r>
      <w:r w:rsidR="00E05F1A" w:rsidRPr="00E05F1A">
        <w:rPr>
          <w:rFonts w:asciiTheme="minorHAnsi" w:eastAsiaTheme="minorEastAsia" w:hAnsi="Calibri" w:cstheme="minorBidi"/>
          <w:color w:val="000000" w:themeColor="text1"/>
          <w:kern w:val="24"/>
        </w:rPr>
        <w:t>) :</w:t>
      </w:r>
      <w:r w:rsidRPr="00E05F1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après-midis les </w:t>
      </w:r>
      <w:r w:rsidRPr="00E05F1A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21 </w:t>
      </w:r>
      <w:r w:rsidR="009F7FB9" w:rsidRPr="00E05F1A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mars, 25</w:t>
      </w:r>
      <w:r w:rsidRPr="00E05F1A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avril, 23 mai , 20 juin</w:t>
      </w:r>
      <w:r w:rsidRPr="00E05F1A">
        <w:rPr>
          <w:rFonts w:asciiTheme="minorHAnsi" w:eastAsiaTheme="minorEastAsia" w:hAnsi="Calibri" w:cstheme="minorBidi"/>
          <w:color w:val="000000" w:themeColor="text1"/>
          <w:kern w:val="24"/>
        </w:rPr>
        <w:t>. Point fixe régulier avec Thierry, Denis et Jamila</w:t>
      </w:r>
    </w:p>
    <w:p w:rsidR="005B7C3C" w:rsidRPr="00E05F1A" w:rsidRDefault="005B7C3C" w:rsidP="005B7C3C">
      <w:pPr>
        <w:pStyle w:val="Paragraphedeliste"/>
        <w:jc w:val="both"/>
        <w:rPr>
          <w:color w:val="2DA2BF"/>
        </w:rPr>
      </w:pPr>
    </w:p>
    <w:p w:rsidR="008376E9" w:rsidRPr="00E05F1A" w:rsidRDefault="008376E9" w:rsidP="005B7C3C">
      <w:pPr>
        <w:jc w:val="both"/>
        <w:rPr>
          <w:sz w:val="24"/>
          <w:szCs w:val="24"/>
        </w:rPr>
      </w:pPr>
    </w:p>
    <w:sectPr w:rsidR="008376E9" w:rsidRPr="00E05F1A" w:rsidSect="005B7C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5F3"/>
    <w:multiLevelType w:val="hybridMultilevel"/>
    <w:tmpl w:val="D092FCF0"/>
    <w:lvl w:ilvl="0" w:tplc="E70E82B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C72D8"/>
    <w:multiLevelType w:val="hybridMultilevel"/>
    <w:tmpl w:val="BED224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067D"/>
    <w:multiLevelType w:val="hybridMultilevel"/>
    <w:tmpl w:val="1A1E6DFC"/>
    <w:lvl w:ilvl="0" w:tplc="E70E8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5654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811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4BE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4FF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642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452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E1B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C27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24FA9"/>
    <w:multiLevelType w:val="hybridMultilevel"/>
    <w:tmpl w:val="17FA5544"/>
    <w:lvl w:ilvl="0" w:tplc="CC66F024">
      <w:numFmt w:val="bullet"/>
      <w:lvlText w:val="-"/>
      <w:lvlJc w:val="left"/>
      <w:pPr>
        <w:ind w:left="533" w:hanging="360"/>
      </w:pPr>
      <w:rPr>
        <w:rFonts w:ascii="Calibri" w:eastAsiaTheme="minorEastAsia" w:hAnsi="Calibri" w:cs="Calibri" w:hint="default"/>
        <w:color w:val="000000" w:themeColor="text1"/>
        <w:sz w:val="48"/>
      </w:rPr>
    </w:lvl>
    <w:lvl w:ilvl="1" w:tplc="040C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4" w15:restartNumberingAfterBreak="0">
    <w:nsid w:val="46B25B25"/>
    <w:multiLevelType w:val="hybridMultilevel"/>
    <w:tmpl w:val="B1442A4E"/>
    <w:lvl w:ilvl="0" w:tplc="D1426A48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08828A8"/>
    <w:multiLevelType w:val="hybridMultilevel"/>
    <w:tmpl w:val="EC2AAC0E"/>
    <w:lvl w:ilvl="0" w:tplc="05E478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264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08D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22D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4B6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E76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CE3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4E6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D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23F04"/>
    <w:multiLevelType w:val="hybridMultilevel"/>
    <w:tmpl w:val="6EA41E2C"/>
    <w:lvl w:ilvl="0" w:tplc="D1426A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DC5F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C1B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C2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00A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2CB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402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8D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20D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04A48F9"/>
    <w:multiLevelType w:val="hybridMultilevel"/>
    <w:tmpl w:val="99721B2E"/>
    <w:lvl w:ilvl="0" w:tplc="FE1E66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2C4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C15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218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5C12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C8B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0F0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C3C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66C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A2AA0"/>
    <w:multiLevelType w:val="hybridMultilevel"/>
    <w:tmpl w:val="DBA61DD6"/>
    <w:lvl w:ilvl="0" w:tplc="E70E82BA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78242C6"/>
    <w:multiLevelType w:val="hybridMultilevel"/>
    <w:tmpl w:val="D834BEB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AF59F2"/>
    <w:multiLevelType w:val="hybridMultilevel"/>
    <w:tmpl w:val="CA084868"/>
    <w:lvl w:ilvl="0" w:tplc="17D814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9255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547F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008F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48F2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C8F3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A675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0681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300D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3D"/>
    <w:rsid w:val="000B29EF"/>
    <w:rsid w:val="00100805"/>
    <w:rsid w:val="00210224"/>
    <w:rsid w:val="003776F4"/>
    <w:rsid w:val="0038051A"/>
    <w:rsid w:val="003D2B3D"/>
    <w:rsid w:val="005B7C3C"/>
    <w:rsid w:val="005D651E"/>
    <w:rsid w:val="008376E9"/>
    <w:rsid w:val="009F7FB9"/>
    <w:rsid w:val="00A313C4"/>
    <w:rsid w:val="00DA61D4"/>
    <w:rsid w:val="00E05F1A"/>
    <w:rsid w:val="00F017EC"/>
    <w:rsid w:val="00F54437"/>
    <w:rsid w:val="00F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C796"/>
  <w15:chartTrackingRefBased/>
  <w15:docId w15:val="{17FC9DA9-2879-4391-9147-9CC410FB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3D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13C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13C4"/>
    <w:rPr>
      <w:i/>
      <w:iCs/>
      <w:color w:val="4472C4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3805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05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05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05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051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3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7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du Bouetiez</dc:creator>
  <cp:keywords/>
  <dc:description/>
  <cp:lastModifiedBy>Thierry du Bouetiez</cp:lastModifiedBy>
  <cp:revision>3</cp:revision>
  <dcterms:created xsi:type="dcterms:W3CDTF">2018-03-14T08:42:00Z</dcterms:created>
  <dcterms:modified xsi:type="dcterms:W3CDTF">2018-03-14T09:04:00Z</dcterms:modified>
</cp:coreProperties>
</file>